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885"/>
        <w:tblW w:w="11111" w:type="dxa"/>
        <w:tblLook w:val="04A0" w:firstRow="1" w:lastRow="0" w:firstColumn="1" w:lastColumn="0" w:noHBand="0" w:noVBand="1"/>
      </w:tblPr>
      <w:tblGrid>
        <w:gridCol w:w="1620"/>
        <w:gridCol w:w="4135"/>
        <w:gridCol w:w="2537"/>
        <w:gridCol w:w="2819"/>
      </w:tblGrid>
      <w:tr w:rsidR="00182B95" w:rsidRPr="00182B95" w14:paraId="154F51BE" w14:textId="77777777" w:rsidTr="00182B95">
        <w:tc>
          <w:tcPr>
            <w:tcW w:w="1620" w:type="dxa"/>
            <w:vMerge w:val="restart"/>
          </w:tcPr>
          <w:p w14:paraId="148D5781" w14:textId="77777777" w:rsidR="00182B95" w:rsidRPr="00182B95" w:rsidRDefault="00182B95" w:rsidP="00182B95">
            <w:pPr>
              <w:tabs>
                <w:tab w:val="center" w:pos="4680"/>
                <w:tab w:val="right" w:pos="9360"/>
              </w:tabs>
              <w:rPr>
                <w:b/>
                <w:bCs/>
              </w:rPr>
            </w:pPr>
            <w:r w:rsidRPr="00182B95">
              <w:rPr>
                <w:b/>
                <w:bCs/>
                <w:noProof/>
              </w:rPr>
              <w:drawing>
                <wp:anchor distT="0" distB="0" distL="114300" distR="114300" simplePos="0" relativeHeight="251658240" behindDoc="0" locked="0" layoutInCell="1" allowOverlap="1" wp14:anchorId="022A0F30" wp14:editId="229551EC">
                  <wp:simplePos x="0" y="0"/>
                  <wp:positionH relativeFrom="column">
                    <wp:posOffset>-3175</wp:posOffset>
                  </wp:positionH>
                  <wp:positionV relativeFrom="page">
                    <wp:posOffset>102870</wp:posOffset>
                  </wp:positionV>
                  <wp:extent cx="904875" cy="904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BEBA8EAE-BF5A-486C-A8C5-ECC9F3942E4B}">
                                <a14:imgProps xmlns:a14="http://schemas.microsoft.com/office/drawing/2010/main">
                                  <a14:imgLayer r:embed="rId9">
                                    <a14:imgEffect>
                                      <a14:backgroundRemoval t="1719" b="97500" l="19844" r="77813">
                                        <a14:foregroundMark x1="48438" y1="35000" x2="48438" y2="35000"/>
                                        <a14:foregroundMark x1="51719" y1="65781" x2="51719" y2="65781"/>
                                        <a14:foregroundMark x1="35000" y1="91406" x2="35000" y2="91406"/>
                                        <a14:foregroundMark x1="46875" y1="88281" x2="46875" y2="88281"/>
                                        <a14:foregroundMark x1="53125" y1="87813" x2="53125" y2="87813"/>
                                        <a14:foregroundMark x1="63906" y1="88750" x2="63906" y2="88750"/>
                                        <a14:foregroundMark x1="61719" y1="93594" x2="61719" y2="93594"/>
                                        <a14:foregroundMark x1="56719" y1="92500" x2="56719" y2="92500"/>
                                        <a14:foregroundMark x1="54688" y1="93281" x2="54688" y2="93281"/>
                                        <a14:foregroundMark x1="34219" y1="86875" x2="34219" y2="86875"/>
                                        <a14:foregroundMark x1="37188" y1="47969" x2="37188" y2="47969"/>
                                        <a14:foregroundMark x1="37031" y1="37344" x2="37031" y2="37344"/>
                                        <a14:foregroundMark x1="40000" y1="40469" x2="40000" y2="40469"/>
                                        <a14:foregroundMark x1="38906" y1="55937" x2="38906" y2="55937"/>
                                        <a14:foregroundMark x1="42344" y1="10000" x2="42344" y2="10000"/>
                                      </a14:backgroundRemoval>
                                    </a14:imgEffect>
                                  </a14:imgLayer>
                                </a14:imgProps>
                              </a:ex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tc>
        <w:tc>
          <w:tcPr>
            <w:tcW w:w="4135" w:type="dxa"/>
            <w:shd w:val="clear" w:color="auto" w:fill="D5DCE4" w:themeFill="text2" w:themeFillTint="33"/>
          </w:tcPr>
          <w:p w14:paraId="0D62B5C6" w14:textId="77777777" w:rsidR="00182B95" w:rsidRPr="00182B95" w:rsidRDefault="00182B95" w:rsidP="00182B95">
            <w:pPr>
              <w:tabs>
                <w:tab w:val="center" w:pos="4680"/>
                <w:tab w:val="right" w:pos="9360"/>
              </w:tabs>
              <w:rPr>
                <w:b/>
                <w:bCs/>
              </w:rPr>
            </w:pPr>
            <w:r w:rsidRPr="00182B95">
              <w:rPr>
                <w:b/>
                <w:bCs/>
              </w:rPr>
              <w:t>POLICY NAME:</w:t>
            </w:r>
          </w:p>
          <w:p w14:paraId="1EE43277" w14:textId="7A719194" w:rsidR="00182B95" w:rsidRPr="00182B95" w:rsidRDefault="00C52BD4" w:rsidP="00182B95">
            <w:pPr>
              <w:tabs>
                <w:tab w:val="center" w:pos="4680"/>
                <w:tab w:val="right" w:pos="9360"/>
              </w:tabs>
              <w:rPr>
                <w:b/>
                <w:bCs/>
              </w:rPr>
            </w:pPr>
            <w:r>
              <w:rPr>
                <w:b/>
                <w:bCs/>
              </w:rPr>
              <w:t xml:space="preserve">Committee Policies </w:t>
            </w:r>
          </w:p>
        </w:tc>
        <w:tc>
          <w:tcPr>
            <w:tcW w:w="2537" w:type="dxa"/>
            <w:shd w:val="clear" w:color="auto" w:fill="D5DCE4" w:themeFill="text2" w:themeFillTint="33"/>
          </w:tcPr>
          <w:p w14:paraId="3370C849" w14:textId="77777777" w:rsidR="00182B95" w:rsidRPr="00182B95" w:rsidRDefault="00182B95" w:rsidP="00182B95">
            <w:pPr>
              <w:tabs>
                <w:tab w:val="center" w:pos="4680"/>
                <w:tab w:val="right" w:pos="9360"/>
              </w:tabs>
              <w:rPr>
                <w:b/>
                <w:bCs/>
              </w:rPr>
            </w:pPr>
            <w:r w:rsidRPr="00182B95">
              <w:rPr>
                <w:b/>
                <w:bCs/>
              </w:rPr>
              <w:t>DATE APPROVED:</w:t>
            </w:r>
          </w:p>
          <w:p w14:paraId="08C0762F" w14:textId="75A7000F" w:rsidR="00182B95" w:rsidRPr="00182B95" w:rsidRDefault="0087720F" w:rsidP="00182B95">
            <w:pPr>
              <w:tabs>
                <w:tab w:val="center" w:pos="4680"/>
                <w:tab w:val="right" w:pos="9360"/>
              </w:tabs>
              <w:rPr>
                <w:b/>
                <w:bCs/>
              </w:rPr>
            </w:pPr>
            <w:r>
              <w:rPr>
                <w:b/>
                <w:bCs/>
              </w:rPr>
              <w:t>October 15 2025</w:t>
            </w:r>
          </w:p>
        </w:tc>
        <w:tc>
          <w:tcPr>
            <w:tcW w:w="2819" w:type="dxa"/>
            <w:shd w:val="clear" w:color="auto" w:fill="D5DCE4" w:themeFill="text2" w:themeFillTint="33"/>
          </w:tcPr>
          <w:p w14:paraId="5A829E7F" w14:textId="77777777" w:rsidR="00182B95" w:rsidRPr="00182B95" w:rsidRDefault="00182B95" w:rsidP="00182B95">
            <w:pPr>
              <w:tabs>
                <w:tab w:val="center" w:pos="4680"/>
                <w:tab w:val="right" w:pos="9360"/>
              </w:tabs>
              <w:rPr>
                <w:b/>
                <w:bCs/>
              </w:rPr>
            </w:pPr>
            <w:r w:rsidRPr="00182B95">
              <w:rPr>
                <w:b/>
                <w:bCs/>
              </w:rPr>
              <w:t>ACTIVATED DATE:</w:t>
            </w:r>
          </w:p>
          <w:p w14:paraId="60075B88" w14:textId="6CD73DB1" w:rsidR="00182B95" w:rsidRPr="00182B95" w:rsidRDefault="0087720F" w:rsidP="00182B95">
            <w:pPr>
              <w:tabs>
                <w:tab w:val="center" w:pos="4680"/>
                <w:tab w:val="right" w:pos="9360"/>
              </w:tabs>
              <w:rPr>
                <w:b/>
                <w:bCs/>
              </w:rPr>
            </w:pPr>
            <w:r>
              <w:rPr>
                <w:b/>
                <w:bCs/>
              </w:rPr>
              <w:t>October 15 2025</w:t>
            </w:r>
          </w:p>
        </w:tc>
      </w:tr>
      <w:tr w:rsidR="00182B95" w:rsidRPr="00182B95" w14:paraId="07BA87D9" w14:textId="77777777" w:rsidTr="00182B95">
        <w:tc>
          <w:tcPr>
            <w:tcW w:w="1620" w:type="dxa"/>
            <w:vMerge/>
          </w:tcPr>
          <w:p w14:paraId="1EFF97A1" w14:textId="77777777" w:rsidR="00182B95" w:rsidRPr="00182B95" w:rsidRDefault="00182B95" w:rsidP="00182B95">
            <w:pPr>
              <w:tabs>
                <w:tab w:val="center" w:pos="4680"/>
                <w:tab w:val="right" w:pos="9360"/>
              </w:tabs>
              <w:rPr>
                <w:b/>
                <w:bCs/>
              </w:rPr>
            </w:pPr>
          </w:p>
        </w:tc>
        <w:tc>
          <w:tcPr>
            <w:tcW w:w="4135" w:type="dxa"/>
          </w:tcPr>
          <w:p w14:paraId="4E68B868" w14:textId="77777777" w:rsidR="00182B95" w:rsidRPr="00182B95" w:rsidRDefault="00182B95" w:rsidP="00182B95">
            <w:pPr>
              <w:tabs>
                <w:tab w:val="center" w:pos="4680"/>
                <w:tab w:val="right" w:pos="9360"/>
              </w:tabs>
              <w:rPr>
                <w:b/>
                <w:bCs/>
              </w:rPr>
            </w:pPr>
            <w:r w:rsidRPr="00182B95">
              <w:rPr>
                <w:b/>
                <w:bCs/>
              </w:rPr>
              <w:t>Approved by:</w:t>
            </w:r>
          </w:p>
          <w:p w14:paraId="22773B1C" w14:textId="77777777" w:rsidR="00182B95" w:rsidRPr="00182B95" w:rsidRDefault="00182B95" w:rsidP="00182B95">
            <w:pPr>
              <w:tabs>
                <w:tab w:val="center" w:pos="4680"/>
                <w:tab w:val="right" w:pos="9360"/>
              </w:tabs>
            </w:pPr>
            <w:r w:rsidRPr="00182B95">
              <w:t>NPGA Board of Directors</w:t>
            </w:r>
          </w:p>
        </w:tc>
        <w:tc>
          <w:tcPr>
            <w:tcW w:w="5356" w:type="dxa"/>
            <w:gridSpan w:val="2"/>
          </w:tcPr>
          <w:p w14:paraId="53236608" w14:textId="77777777" w:rsidR="00182B95" w:rsidRPr="00182B95" w:rsidRDefault="00182B95" w:rsidP="00182B95">
            <w:pPr>
              <w:tabs>
                <w:tab w:val="center" w:pos="4680"/>
                <w:tab w:val="right" w:pos="9360"/>
              </w:tabs>
              <w:rPr>
                <w:b/>
                <w:bCs/>
              </w:rPr>
            </w:pPr>
            <w:r w:rsidRPr="00182B95">
              <w:rPr>
                <w:b/>
                <w:bCs/>
              </w:rPr>
              <w:t>Version:</w:t>
            </w:r>
          </w:p>
          <w:p w14:paraId="100E17FA" w14:textId="77777777" w:rsidR="00182B95" w:rsidRPr="00182B95" w:rsidRDefault="00182B95" w:rsidP="00182B95">
            <w:pPr>
              <w:tabs>
                <w:tab w:val="center" w:pos="4680"/>
                <w:tab w:val="right" w:pos="9360"/>
              </w:tabs>
            </w:pPr>
            <w:r w:rsidRPr="00182B95">
              <w:t>1</w:t>
            </w:r>
          </w:p>
        </w:tc>
      </w:tr>
      <w:tr w:rsidR="00182B95" w:rsidRPr="00182B95" w14:paraId="4C19504A" w14:textId="77777777" w:rsidTr="00182B95">
        <w:tc>
          <w:tcPr>
            <w:tcW w:w="1620" w:type="dxa"/>
            <w:vMerge/>
          </w:tcPr>
          <w:p w14:paraId="19FA41E3" w14:textId="77777777" w:rsidR="00182B95" w:rsidRPr="00182B95" w:rsidRDefault="00182B95" w:rsidP="00182B95">
            <w:pPr>
              <w:tabs>
                <w:tab w:val="center" w:pos="4680"/>
                <w:tab w:val="right" w:pos="9360"/>
              </w:tabs>
              <w:rPr>
                <w:b/>
                <w:bCs/>
              </w:rPr>
            </w:pPr>
          </w:p>
        </w:tc>
        <w:tc>
          <w:tcPr>
            <w:tcW w:w="9491" w:type="dxa"/>
            <w:gridSpan w:val="3"/>
          </w:tcPr>
          <w:p w14:paraId="30BE61D4" w14:textId="77777777" w:rsidR="00182B95" w:rsidRPr="00182B95" w:rsidRDefault="00182B95" w:rsidP="00182B95">
            <w:pPr>
              <w:tabs>
                <w:tab w:val="center" w:pos="4680"/>
                <w:tab w:val="right" w:pos="9360"/>
              </w:tabs>
              <w:rPr>
                <w:b/>
                <w:bCs/>
              </w:rPr>
            </w:pPr>
            <w:r w:rsidRPr="00182B95">
              <w:rPr>
                <w:b/>
                <w:bCs/>
              </w:rPr>
              <w:t>Review Cycle:</w:t>
            </w:r>
          </w:p>
          <w:p w14:paraId="12BBDCFB" w14:textId="3A636900" w:rsidR="00182B95" w:rsidRPr="00182B95" w:rsidRDefault="00182B95" w:rsidP="00182B95">
            <w:pPr>
              <w:tabs>
                <w:tab w:val="center" w:pos="4680"/>
                <w:tab w:val="right" w:pos="9360"/>
              </w:tabs>
            </w:pPr>
            <w:r w:rsidRPr="00182B95">
              <w:t>Reviewed annually by NPGA’s Board of Directors.  Recommended amendments to be approved by the Board of Directors.</w:t>
            </w:r>
          </w:p>
        </w:tc>
      </w:tr>
    </w:tbl>
    <w:p w14:paraId="34254323" w14:textId="77777777" w:rsidR="00182B95" w:rsidRDefault="00182B95" w:rsidP="0021559A"/>
    <w:p w14:paraId="1F39DE9F" w14:textId="77777777" w:rsidR="00AB4489" w:rsidRPr="008C06D8" w:rsidRDefault="00AB4489" w:rsidP="00AB4489">
      <w:pPr>
        <w:rPr>
          <w:rFonts w:cstheme="minorHAnsi"/>
          <w:b/>
          <w:bCs/>
          <w:u w:val="single"/>
        </w:rPr>
      </w:pPr>
      <w:r w:rsidRPr="008C06D8">
        <w:rPr>
          <w:rFonts w:cstheme="minorHAnsi"/>
          <w:b/>
          <w:bCs/>
          <w:u w:val="single"/>
        </w:rPr>
        <w:t xml:space="preserve">1.0 Establishment of Committees </w:t>
      </w:r>
    </w:p>
    <w:p w14:paraId="16511002" w14:textId="77777777" w:rsidR="008C06D8" w:rsidRPr="008C06D8" w:rsidRDefault="00AB4489" w:rsidP="00AB4489">
      <w:pPr>
        <w:rPr>
          <w:rFonts w:cstheme="minorHAnsi"/>
          <w:b/>
          <w:bCs/>
        </w:rPr>
      </w:pPr>
      <w:r w:rsidRPr="008C06D8">
        <w:rPr>
          <w:rFonts w:cstheme="minorHAnsi"/>
          <w:b/>
          <w:bCs/>
        </w:rPr>
        <w:t xml:space="preserve">1.1 Standing Committees </w:t>
      </w:r>
    </w:p>
    <w:p w14:paraId="467783C4" w14:textId="4D42CA20" w:rsidR="00AB4489" w:rsidRPr="008C06D8" w:rsidRDefault="00AB4489" w:rsidP="00AB4489">
      <w:pPr>
        <w:rPr>
          <w:rFonts w:cstheme="minorHAnsi"/>
        </w:rPr>
      </w:pPr>
      <w:r w:rsidRPr="008C06D8">
        <w:rPr>
          <w:rFonts w:cstheme="minorHAnsi"/>
        </w:rPr>
        <w:t xml:space="preserve">The Board of Directors may, at its discretion and by resolution at a Board meeting, create a Standing Committee to provide input or manage specific pieces of business or programming effectively and efficiently. Standing Committees are permanent, ongoing functional committees of the Society, and are responsible to the Board of Directors. </w:t>
      </w:r>
    </w:p>
    <w:p w14:paraId="1ED63E23" w14:textId="77777777" w:rsidR="00233859" w:rsidRPr="008C06D8" w:rsidRDefault="00AB4489" w:rsidP="00AB4489">
      <w:pPr>
        <w:rPr>
          <w:rFonts w:cstheme="minorHAnsi"/>
          <w:b/>
          <w:bCs/>
        </w:rPr>
      </w:pPr>
      <w:r w:rsidRPr="008C06D8">
        <w:rPr>
          <w:rFonts w:cstheme="minorHAnsi"/>
          <w:b/>
          <w:bCs/>
        </w:rPr>
        <w:t xml:space="preserve">1.1.1 Committees of the Board </w:t>
      </w:r>
    </w:p>
    <w:p w14:paraId="3BD6C4E5" w14:textId="5DF6860A" w:rsidR="000C2A0E" w:rsidRPr="008C06D8" w:rsidRDefault="00AB4489" w:rsidP="00AB4489">
      <w:pPr>
        <w:rPr>
          <w:rFonts w:cstheme="minorHAnsi"/>
        </w:rPr>
      </w:pPr>
      <w:r w:rsidRPr="008C06D8">
        <w:rPr>
          <w:rFonts w:cstheme="minorHAnsi"/>
        </w:rPr>
        <w:t xml:space="preserve">Committees of the Board help to provide focus and expertise </w:t>
      </w:r>
      <w:r w:rsidR="002D4ED0" w:rsidRPr="008C06D8">
        <w:rPr>
          <w:rFonts w:cstheme="minorHAnsi"/>
        </w:rPr>
        <w:t>in</w:t>
      </w:r>
      <w:r w:rsidRPr="008C06D8">
        <w:rPr>
          <w:rFonts w:cstheme="minorHAnsi"/>
        </w:rPr>
        <w:t xml:space="preserve"> specific areas of </w:t>
      </w:r>
      <w:r w:rsidR="00E619CF">
        <w:rPr>
          <w:rFonts w:cstheme="minorHAnsi"/>
        </w:rPr>
        <w:t>the Society’s</w:t>
      </w:r>
      <w:r w:rsidRPr="008C06D8">
        <w:rPr>
          <w:rFonts w:cstheme="minorHAnsi"/>
        </w:rPr>
        <w:t xml:space="preserve"> work within the parameters of authority and accountability as noted in their Terms of Reference. </w:t>
      </w:r>
    </w:p>
    <w:p w14:paraId="555A383A" w14:textId="77777777" w:rsidR="000C2A0E" w:rsidRPr="008C06D8" w:rsidRDefault="00AB4489" w:rsidP="00AB4489">
      <w:pPr>
        <w:rPr>
          <w:rFonts w:cstheme="minorHAnsi"/>
          <w:b/>
          <w:bCs/>
        </w:rPr>
      </w:pPr>
      <w:r w:rsidRPr="008C06D8">
        <w:rPr>
          <w:rFonts w:cstheme="minorHAnsi"/>
          <w:b/>
          <w:bCs/>
        </w:rPr>
        <w:t xml:space="preserve">The Committees of the Board are: </w:t>
      </w:r>
    </w:p>
    <w:p w14:paraId="0BA71951" w14:textId="7EB12C6A" w:rsidR="00AB4489" w:rsidRPr="009F0B47" w:rsidRDefault="00984D39" w:rsidP="009F0B47">
      <w:pPr>
        <w:pStyle w:val="ListParagraph"/>
        <w:numPr>
          <w:ilvl w:val="0"/>
          <w:numId w:val="6"/>
        </w:numPr>
        <w:rPr>
          <w:rFonts w:cstheme="minorHAnsi"/>
        </w:rPr>
      </w:pPr>
      <w:r w:rsidRPr="009F0B47">
        <w:rPr>
          <w:rFonts w:cstheme="minorHAnsi"/>
        </w:rPr>
        <w:t>Person</w:t>
      </w:r>
      <w:r w:rsidR="009F0B47" w:rsidRPr="009F0B47">
        <w:rPr>
          <w:rFonts w:cstheme="minorHAnsi"/>
        </w:rPr>
        <w:t>nel</w:t>
      </w:r>
      <w:r w:rsidR="000C2A0E" w:rsidRPr="009F0B47">
        <w:rPr>
          <w:rFonts w:cstheme="minorHAnsi"/>
        </w:rPr>
        <w:t xml:space="preserve"> Committee</w:t>
      </w:r>
    </w:p>
    <w:p w14:paraId="5B26E878" w14:textId="6365B5BD" w:rsidR="009F0B47" w:rsidRDefault="009F0B47" w:rsidP="009F0B47">
      <w:pPr>
        <w:pStyle w:val="ListParagraph"/>
        <w:numPr>
          <w:ilvl w:val="0"/>
          <w:numId w:val="6"/>
        </w:numPr>
        <w:rPr>
          <w:rFonts w:cstheme="minorHAnsi"/>
        </w:rPr>
      </w:pPr>
      <w:r>
        <w:rPr>
          <w:rFonts w:cstheme="minorHAnsi"/>
        </w:rPr>
        <w:t>Fundraising Committee</w:t>
      </w:r>
    </w:p>
    <w:p w14:paraId="45F8FB03" w14:textId="19EE4BA3" w:rsidR="00F97525" w:rsidRDefault="00F97525" w:rsidP="009F0B47">
      <w:pPr>
        <w:pStyle w:val="ListParagraph"/>
        <w:numPr>
          <w:ilvl w:val="0"/>
          <w:numId w:val="6"/>
        </w:numPr>
        <w:rPr>
          <w:rFonts w:cstheme="minorHAnsi"/>
        </w:rPr>
      </w:pPr>
      <w:r>
        <w:rPr>
          <w:rFonts w:cstheme="minorHAnsi"/>
        </w:rPr>
        <w:t>The Nominations Committee</w:t>
      </w:r>
    </w:p>
    <w:p w14:paraId="206EAB70" w14:textId="71F6D785" w:rsidR="005501FD" w:rsidRPr="008C06D8" w:rsidRDefault="00AB4489" w:rsidP="00AB4489">
      <w:pPr>
        <w:rPr>
          <w:rFonts w:cstheme="minorHAnsi"/>
          <w:b/>
          <w:bCs/>
        </w:rPr>
      </w:pPr>
      <w:r w:rsidRPr="008C06D8">
        <w:rPr>
          <w:rFonts w:cstheme="minorHAnsi"/>
          <w:b/>
          <w:bCs/>
        </w:rPr>
        <w:t>1.1.</w:t>
      </w:r>
      <w:r w:rsidR="005501FD" w:rsidRPr="008C06D8">
        <w:rPr>
          <w:rFonts w:cstheme="minorHAnsi"/>
          <w:b/>
          <w:bCs/>
        </w:rPr>
        <w:t>2</w:t>
      </w:r>
      <w:r w:rsidRPr="008C06D8">
        <w:rPr>
          <w:rFonts w:cstheme="minorHAnsi"/>
          <w:b/>
          <w:bCs/>
        </w:rPr>
        <w:t xml:space="preserve"> Sub-Committees </w:t>
      </w:r>
    </w:p>
    <w:p w14:paraId="3C4E73AA" w14:textId="3B4D52CF" w:rsidR="005501FD" w:rsidRPr="008C06D8" w:rsidRDefault="00AB4489" w:rsidP="00AB4489">
      <w:pPr>
        <w:rPr>
          <w:rFonts w:cstheme="minorHAnsi"/>
        </w:rPr>
      </w:pPr>
      <w:r w:rsidRPr="008C06D8">
        <w:rPr>
          <w:rFonts w:cstheme="minorHAnsi"/>
        </w:rPr>
        <w:t xml:space="preserve">A Standing Committee may have one or more sub-committees to manage specific components under its jurisdiction. Each sub-committee has its own Terms of Reference. </w:t>
      </w:r>
    </w:p>
    <w:p w14:paraId="6500E23A" w14:textId="6DF3C80C" w:rsidR="005501FD" w:rsidRPr="008C06D8" w:rsidRDefault="00AB4489" w:rsidP="00AB4489">
      <w:pPr>
        <w:rPr>
          <w:rFonts w:cstheme="minorHAnsi"/>
        </w:rPr>
      </w:pPr>
      <w:r w:rsidRPr="008C06D8">
        <w:rPr>
          <w:rFonts w:cstheme="minorHAnsi"/>
        </w:rPr>
        <w:t xml:space="preserve">Establishment of a sub-committee must be approved by the Board. The sub-committee reports to its applicable Standing Committee. </w:t>
      </w:r>
    </w:p>
    <w:p w14:paraId="7B09A008" w14:textId="77777777" w:rsidR="005501FD" w:rsidRPr="008C06D8" w:rsidRDefault="00AB4489" w:rsidP="00AB4489">
      <w:pPr>
        <w:rPr>
          <w:rFonts w:cstheme="minorHAnsi"/>
          <w:b/>
          <w:bCs/>
        </w:rPr>
      </w:pPr>
      <w:r w:rsidRPr="008C06D8">
        <w:rPr>
          <w:rFonts w:cstheme="minorHAnsi"/>
          <w:b/>
          <w:bCs/>
        </w:rPr>
        <w:t>1.1.</w:t>
      </w:r>
      <w:r w:rsidR="005501FD" w:rsidRPr="008C06D8">
        <w:rPr>
          <w:rFonts w:cstheme="minorHAnsi"/>
          <w:b/>
          <w:bCs/>
        </w:rPr>
        <w:t>3</w:t>
      </w:r>
      <w:r w:rsidRPr="008C06D8">
        <w:rPr>
          <w:rFonts w:cstheme="minorHAnsi"/>
          <w:b/>
          <w:bCs/>
        </w:rPr>
        <w:t xml:space="preserve"> Terms of Reference </w:t>
      </w:r>
    </w:p>
    <w:p w14:paraId="56D319A9" w14:textId="77777777" w:rsidR="00233859" w:rsidRPr="008C06D8" w:rsidRDefault="00AB4489" w:rsidP="00AB4489">
      <w:pPr>
        <w:rPr>
          <w:rFonts w:cstheme="minorHAnsi"/>
        </w:rPr>
      </w:pPr>
      <w:r w:rsidRPr="008C06D8">
        <w:rPr>
          <w:rFonts w:cstheme="minorHAnsi"/>
        </w:rPr>
        <w:t xml:space="preserve">Every Standing Committee or sub-committee shall have Terms of Reference developed and approved by the Board prior to committee appointments being made. </w:t>
      </w:r>
    </w:p>
    <w:p w14:paraId="51CCA753" w14:textId="77777777" w:rsidR="00233859" w:rsidRPr="008C06D8" w:rsidRDefault="00AB4489" w:rsidP="00AB4489">
      <w:pPr>
        <w:rPr>
          <w:rFonts w:cstheme="minorHAnsi"/>
          <w:b/>
          <w:bCs/>
        </w:rPr>
      </w:pPr>
      <w:r w:rsidRPr="008C06D8">
        <w:rPr>
          <w:rFonts w:cstheme="minorHAnsi"/>
          <w:b/>
          <w:bCs/>
        </w:rPr>
        <w:t xml:space="preserve">1.2 Ad Hoc Committees </w:t>
      </w:r>
    </w:p>
    <w:p w14:paraId="46A45CA8" w14:textId="51170298" w:rsidR="0021559A" w:rsidRDefault="00AB4489" w:rsidP="00AB4489">
      <w:pPr>
        <w:rPr>
          <w:rFonts w:cstheme="minorHAnsi"/>
        </w:rPr>
      </w:pPr>
      <w:r w:rsidRPr="008C06D8">
        <w:rPr>
          <w:rFonts w:cstheme="minorHAnsi"/>
        </w:rPr>
        <w:t xml:space="preserve">The Board Chair has the authority to create ad hoc committees as required to address specific matters. </w:t>
      </w:r>
      <w:proofErr w:type="gramStart"/>
      <w:r w:rsidRPr="008C06D8">
        <w:rPr>
          <w:rFonts w:cstheme="minorHAnsi"/>
        </w:rPr>
        <w:t>A Terms</w:t>
      </w:r>
      <w:proofErr w:type="gramEnd"/>
      <w:r w:rsidRPr="008C06D8">
        <w:rPr>
          <w:rFonts w:cstheme="minorHAnsi"/>
        </w:rPr>
        <w:t xml:space="preserve"> of Reference will be developed by the </w:t>
      </w:r>
      <w:r w:rsidR="008B1E28">
        <w:rPr>
          <w:rFonts w:cstheme="minorHAnsi"/>
        </w:rPr>
        <w:t xml:space="preserve">Executive Director </w:t>
      </w:r>
      <w:r w:rsidRPr="008C06D8">
        <w:rPr>
          <w:rFonts w:cstheme="minorHAnsi"/>
        </w:rPr>
        <w:t>prior to Ad Hoc Committee appointments.</w:t>
      </w:r>
    </w:p>
    <w:p w14:paraId="2BD5E85F" w14:textId="77777777" w:rsidR="00113361" w:rsidRPr="008C06D8" w:rsidRDefault="00113361" w:rsidP="00AB4489">
      <w:pPr>
        <w:rPr>
          <w:rFonts w:cstheme="minorHAnsi"/>
        </w:rPr>
      </w:pPr>
    </w:p>
    <w:p w14:paraId="14A1AE58" w14:textId="77777777" w:rsidR="00F43B4C" w:rsidRPr="008C06D8" w:rsidRDefault="00F43B4C" w:rsidP="0021559A">
      <w:pPr>
        <w:rPr>
          <w:rFonts w:cstheme="minorHAnsi"/>
          <w:b/>
          <w:bCs/>
          <w:u w:val="single"/>
        </w:rPr>
      </w:pPr>
      <w:r w:rsidRPr="008C06D8">
        <w:rPr>
          <w:rFonts w:cstheme="minorHAnsi"/>
          <w:b/>
          <w:bCs/>
          <w:u w:val="single"/>
        </w:rPr>
        <w:t xml:space="preserve">2.0 Committee Procedures, Confidentiality and Conduct </w:t>
      </w:r>
    </w:p>
    <w:p w14:paraId="2C460B9B" w14:textId="5710EEA9" w:rsidR="00F43B4C" w:rsidRPr="008C06D8" w:rsidRDefault="00F43B4C" w:rsidP="0021559A">
      <w:pPr>
        <w:rPr>
          <w:rFonts w:cstheme="minorHAnsi"/>
          <w:b/>
          <w:bCs/>
        </w:rPr>
      </w:pPr>
      <w:r w:rsidRPr="008C06D8">
        <w:rPr>
          <w:rFonts w:cstheme="minorHAnsi"/>
          <w:b/>
          <w:bCs/>
        </w:rPr>
        <w:t xml:space="preserve">2.1 Committees of the Board </w:t>
      </w:r>
    </w:p>
    <w:p w14:paraId="7F91327E" w14:textId="77777777" w:rsidR="00F43B4C" w:rsidRPr="008C06D8" w:rsidRDefault="00F43B4C" w:rsidP="0021559A">
      <w:pPr>
        <w:rPr>
          <w:rFonts w:cstheme="minorHAnsi"/>
        </w:rPr>
      </w:pPr>
      <w:r w:rsidRPr="008C06D8">
        <w:rPr>
          <w:rFonts w:cstheme="minorHAnsi"/>
        </w:rPr>
        <w:t xml:space="preserve">a. Committees of the Board are held to the same standards of confidentiality and conflict of interest as any business, discussion or deliberation of the Board as a whole. </w:t>
      </w:r>
    </w:p>
    <w:p w14:paraId="5811DED8" w14:textId="77777777" w:rsidR="00F43B4C" w:rsidRPr="008C06D8" w:rsidRDefault="00F43B4C" w:rsidP="0021559A">
      <w:pPr>
        <w:rPr>
          <w:rFonts w:cstheme="minorHAnsi"/>
        </w:rPr>
      </w:pPr>
      <w:r w:rsidRPr="008C06D8">
        <w:rPr>
          <w:rFonts w:cstheme="minorHAnsi"/>
        </w:rPr>
        <w:lastRenderedPageBreak/>
        <w:t xml:space="preserve">b. If warranted by discussion items, the Committee may invite another Director or a member of staff to attend all or portions of a committee meeting. </w:t>
      </w:r>
    </w:p>
    <w:p w14:paraId="7C610190" w14:textId="77777777" w:rsidR="00B13C7E" w:rsidRPr="008C06D8" w:rsidRDefault="00F43B4C" w:rsidP="0021559A">
      <w:pPr>
        <w:rPr>
          <w:rFonts w:cstheme="minorHAnsi"/>
        </w:rPr>
      </w:pPr>
      <w:r w:rsidRPr="008C06D8">
        <w:rPr>
          <w:rFonts w:cstheme="minorHAnsi"/>
        </w:rPr>
        <w:t xml:space="preserve">c. The Board may approve the use of external advisors for a Committee of the Board. </w:t>
      </w:r>
    </w:p>
    <w:p w14:paraId="0737C300" w14:textId="77777777" w:rsidR="00B13C7E" w:rsidRPr="008C06D8" w:rsidRDefault="00B13C7E" w:rsidP="0021559A">
      <w:pPr>
        <w:rPr>
          <w:rFonts w:cstheme="minorHAnsi"/>
          <w:b/>
          <w:bCs/>
        </w:rPr>
      </w:pPr>
      <w:r w:rsidRPr="008C06D8">
        <w:rPr>
          <w:rFonts w:cstheme="minorHAnsi"/>
          <w:b/>
          <w:bCs/>
        </w:rPr>
        <w:t xml:space="preserve">2.2 </w:t>
      </w:r>
      <w:r w:rsidR="00F43B4C" w:rsidRPr="008C06D8">
        <w:rPr>
          <w:rFonts w:cstheme="minorHAnsi"/>
          <w:b/>
          <w:bCs/>
        </w:rPr>
        <w:t xml:space="preserve">Other Standing Committees and Ad Hoc Committees </w:t>
      </w:r>
    </w:p>
    <w:p w14:paraId="26494242" w14:textId="77777777" w:rsidR="00B13C7E" w:rsidRPr="008C06D8" w:rsidRDefault="00F43B4C" w:rsidP="0021559A">
      <w:pPr>
        <w:rPr>
          <w:rFonts w:cstheme="minorHAnsi"/>
        </w:rPr>
      </w:pPr>
      <w:r w:rsidRPr="008C06D8">
        <w:rPr>
          <w:rFonts w:cstheme="minorHAnsi"/>
        </w:rPr>
        <w:t xml:space="preserve">a. Committee members and advisors shall maintain the confidentiality and privacy of all deliberations, and of records, materials and information that are not generally available to Society members or the public. </w:t>
      </w:r>
    </w:p>
    <w:p w14:paraId="337FA3D6" w14:textId="77777777" w:rsidR="00B13C7E" w:rsidRPr="008C06D8" w:rsidRDefault="00F43B4C" w:rsidP="0021559A">
      <w:pPr>
        <w:rPr>
          <w:rFonts w:cstheme="minorHAnsi"/>
        </w:rPr>
      </w:pPr>
      <w:r w:rsidRPr="008C06D8">
        <w:rPr>
          <w:rFonts w:cstheme="minorHAnsi"/>
        </w:rPr>
        <w:t xml:space="preserve">b. Committee Members will be asked to sign Conflict of Interest Disclosures pertinent to their committee appointment. </w:t>
      </w:r>
    </w:p>
    <w:p w14:paraId="6B71B07B" w14:textId="37F26DAE" w:rsidR="00B13C7E" w:rsidRPr="008C06D8" w:rsidRDefault="00F43B4C" w:rsidP="0021559A">
      <w:pPr>
        <w:rPr>
          <w:rFonts w:cstheme="minorHAnsi"/>
        </w:rPr>
      </w:pPr>
      <w:r w:rsidRPr="008C06D8">
        <w:rPr>
          <w:rFonts w:cstheme="minorHAnsi"/>
        </w:rPr>
        <w:t xml:space="preserve">c. Advisory Committees or Ad Hoc Committee that do not have a </w:t>
      </w:r>
      <w:proofErr w:type="gramStart"/>
      <w:r w:rsidRPr="008C06D8">
        <w:rPr>
          <w:rFonts w:cstheme="minorHAnsi"/>
        </w:rPr>
        <w:t>Director</w:t>
      </w:r>
      <w:proofErr w:type="gramEnd"/>
      <w:r w:rsidRPr="008C06D8">
        <w:rPr>
          <w:rFonts w:cstheme="minorHAnsi"/>
        </w:rPr>
        <w:t xml:space="preserve"> as a committee member may have a Board liaison appointed by the Chair, who may attend any or all committee meetings in a non-voting capacity. </w:t>
      </w:r>
    </w:p>
    <w:p w14:paraId="3A3DE65B" w14:textId="77777777" w:rsidR="00B13C7E" w:rsidRPr="008C06D8" w:rsidRDefault="00F43B4C" w:rsidP="0021559A">
      <w:pPr>
        <w:rPr>
          <w:rFonts w:cstheme="minorHAnsi"/>
        </w:rPr>
      </w:pPr>
      <w:r w:rsidRPr="008C06D8">
        <w:rPr>
          <w:rFonts w:cstheme="minorHAnsi"/>
        </w:rPr>
        <w:t xml:space="preserve">d. A Committee may obtain the advice and counsel of external advisors, providing the Board has approved the involvement and any cost of engagement of such advisors. </w:t>
      </w:r>
    </w:p>
    <w:p w14:paraId="6698AE03" w14:textId="77777777" w:rsidR="00B13C7E" w:rsidRPr="008C06D8" w:rsidRDefault="00F43B4C" w:rsidP="0021559A">
      <w:pPr>
        <w:rPr>
          <w:rFonts w:cstheme="minorHAnsi"/>
        </w:rPr>
      </w:pPr>
      <w:r w:rsidRPr="008C06D8">
        <w:rPr>
          <w:rFonts w:cstheme="minorHAnsi"/>
        </w:rPr>
        <w:t xml:space="preserve">e. If warranted by discussion items, and if the staff person is not already appointed to the Committee, the Committee may invite a staff member to attend all or portions of a committee meeting. </w:t>
      </w:r>
    </w:p>
    <w:p w14:paraId="68F23B70" w14:textId="55810D8A" w:rsidR="0021559A" w:rsidRDefault="00F43B4C" w:rsidP="0021559A">
      <w:pPr>
        <w:rPr>
          <w:rFonts w:cstheme="minorHAnsi"/>
        </w:rPr>
      </w:pPr>
      <w:r w:rsidRPr="008C06D8">
        <w:rPr>
          <w:rFonts w:cstheme="minorHAnsi"/>
        </w:rPr>
        <w:t xml:space="preserve">f. Committees may invite members of the Society to attend portions of a meeting if they can provide special expertise </w:t>
      </w:r>
      <w:proofErr w:type="gramStart"/>
      <w:r w:rsidRPr="008C06D8">
        <w:rPr>
          <w:rFonts w:cstheme="minorHAnsi"/>
        </w:rPr>
        <w:t>to</w:t>
      </w:r>
      <w:proofErr w:type="gramEnd"/>
      <w:r w:rsidRPr="008C06D8">
        <w:rPr>
          <w:rFonts w:cstheme="minorHAnsi"/>
        </w:rPr>
        <w:t xml:space="preserve"> an agenda topic. Attendance is restricted to the applicable portion of the meeting and </w:t>
      </w:r>
      <w:r w:rsidR="002D4ED0" w:rsidRPr="008C06D8">
        <w:rPr>
          <w:rFonts w:cstheme="minorHAnsi"/>
        </w:rPr>
        <w:t>invites</w:t>
      </w:r>
      <w:r w:rsidRPr="008C06D8">
        <w:rPr>
          <w:rFonts w:cstheme="minorHAnsi"/>
        </w:rPr>
        <w:t xml:space="preserve"> are not privy to committee decisions or recommendations until the decision or recommendation is available to all members.</w:t>
      </w:r>
    </w:p>
    <w:p w14:paraId="2747173C" w14:textId="77777777" w:rsidR="00113361" w:rsidRPr="008C06D8" w:rsidRDefault="00113361" w:rsidP="0021559A">
      <w:pPr>
        <w:rPr>
          <w:rFonts w:cstheme="minorHAnsi"/>
          <w:b/>
          <w:bCs/>
        </w:rPr>
      </w:pPr>
    </w:p>
    <w:p w14:paraId="5DDB1340" w14:textId="77777777" w:rsidR="004B3666" w:rsidRPr="008C06D8" w:rsidRDefault="004B3666" w:rsidP="0021559A">
      <w:pPr>
        <w:rPr>
          <w:rFonts w:cstheme="minorHAnsi"/>
          <w:b/>
          <w:bCs/>
          <w:u w:val="single"/>
        </w:rPr>
      </w:pPr>
      <w:r w:rsidRPr="008C06D8">
        <w:rPr>
          <w:rFonts w:cstheme="minorHAnsi"/>
          <w:b/>
          <w:bCs/>
          <w:u w:val="single"/>
        </w:rPr>
        <w:t xml:space="preserve">3.0 Functioning of Committees </w:t>
      </w:r>
    </w:p>
    <w:p w14:paraId="64C0BC99" w14:textId="77777777" w:rsidR="004B3666" w:rsidRPr="008C06D8" w:rsidRDefault="004B3666" w:rsidP="0021559A">
      <w:pPr>
        <w:rPr>
          <w:rFonts w:cstheme="minorHAnsi"/>
          <w:b/>
          <w:bCs/>
        </w:rPr>
      </w:pPr>
      <w:r w:rsidRPr="008C06D8">
        <w:rPr>
          <w:rFonts w:cstheme="minorHAnsi"/>
          <w:b/>
          <w:bCs/>
        </w:rPr>
        <w:t xml:space="preserve">3.1 Committee Meetings </w:t>
      </w:r>
    </w:p>
    <w:p w14:paraId="75DC0D52" w14:textId="77777777" w:rsidR="004B3666" w:rsidRPr="008C06D8" w:rsidRDefault="004B3666" w:rsidP="0021559A">
      <w:pPr>
        <w:rPr>
          <w:rFonts w:cstheme="minorHAnsi"/>
        </w:rPr>
      </w:pPr>
      <w:r w:rsidRPr="008C06D8">
        <w:rPr>
          <w:rFonts w:cstheme="minorHAnsi"/>
        </w:rPr>
        <w:t xml:space="preserve">All Committees will function in accordance with the Bylaws of the Society, the Societies Act of BC and Roberts Rules of Order (current edition), with specifics noted below. </w:t>
      </w:r>
    </w:p>
    <w:p w14:paraId="62B7E8B6" w14:textId="77777777" w:rsidR="004B3666" w:rsidRPr="008C06D8" w:rsidRDefault="004B3666" w:rsidP="0021559A">
      <w:pPr>
        <w:rPr>
          <w:rFonts w:cstheme="minorHAnsi"/>
        </w:rPr>
      </w:pPr>
      <w:r w:rsidRPr="008C06D8">
        <w:rPr>
          <w:rFonts w:cstheme="minorHAnsi"/>
        </w:rPr>
        <w:t xml:space="preserve">a. Voting members for all committees will be expected to attend all scheduled meetings. Extenuating circumstances will be taken into consideration. </w:t>
      </w:r>
    </w:p>
    <w:p w14:paraId="506A7863" w14:textId="77777777" w:rsidR="004B3666" w:rsidRPr="008C06D8" w:rsidRDefault="004B3666" w:rsidP="0021559A">
      <w:pPr>
        <w:rPr>
          <w:rFonts w:cstheme="minorHAnsi"/>
        </w:rPr>
      </w:pPr>
      <w:r w:rsidRPr="008C06D8">
        <w:rPr>
          <w:rFonts w:cstheme="minorHAnsi"/>
        </w:rPr>
        <w:t xml:space="preserve">b. Committee decisions will be reached by consensus or by simple majority </w:t>
      </w:r>
    </w:p>
    <w:p w14:paraId="583EC62B" w14:textId="77777777" w:rsidR="004B3666" w:rsidRPr="008C06D8" w:rsidRDefault="004B3666" w:rsidP="0021559A">
      <w:pPr>
        <w:rPr>
          <w:rFonts w:cstheme="minorHAnsi"/>
        </w:rPr>
      </w:pPr>
      <w:r w:rsidRPr="008C06D8">
        <w:rPr>
          <w:rFonts w:cstheme="minorHAnsi"/>
        </w:rPr>
        <w:t xml:space="preserve">c. Committee Chairs can vote on any motion being considered by the committee </w:t>
      </w:r>
    </w:p>
    <w:p w14:paraId="2B3E4415" w14:textId="071E4E73" w:rsidR="004B3666" w:rsidRPr="008C06D8" w:rsidRDefault="004B3666" w:rsidP="0021559A">
      <w:pPr>
        <w:rPr>
          <w:rFonts w:cstheme="minorHAnsi"/>
        </w:rPr>
      </w:pPr>
      <w:r w:rsidRPr="008C06D8">
        <w:rPr>
          <w:rFonts w:cstheme="minorHAnsi"/>
        </w:rPr>
        <w:t>d. Meetings can be held in person</w:t>
      </w:r>
      <w:r w:rsidR="00113361">
        <w:rPr>
          <w:rFonts w:cstheme="minorHAnsi"/>
        </w:rPr>
        <w:t xml:space="preserve"> </w:t>
      </w:r>
      <w:r w:rsidRPr="008C06D8">
        <w:rPr>
          <w:rFonts w:cstheme="minorHAnsi"/>
        </w:rPr>
        <w:t xml:space="preserve">or through other electronic means, provided that all committee members have full audio access to the meeting. </w:t>
      </w:r>
    </w:p>
    <w:p w14:paraId="74EEB625" w14:textId="77777777" w:rsidR="004B3666" w:rsidRPr="008C06D8" w:rsidRDefault="004B3666" w:rsidP="0021559A">
      <w:pPr>
        <w:rPr>
          <w:rFonts w:cstheme="minorHAnsi"/>
        </w:rPr>
      </w:pPr>
      <w:r w:rsidRPr="008C06D8">
        <w:rPr>
          <w:rFonts w:cstheme="minorHAnsi"/>
        </w:rPr>
        <w:t xml:space="preserve">e. A quorum is a simple majority of committee members appointed at the time of the meeting. </w:t>
      </w:r>
    </w:p>
    <w:p w14:paraId="081267E6" w14:textId="77777777" w:rsidR="004B3666" w:rsidRPr="008C06D8" w:rsidRDefault="004B3666" w:rsidP="0021559A">
      <w:pPr>
        <w:rPr>
          <w:rFonts w:cstheme="minorHAnsi"/>
        </w:rPr>
      </w:pPr>
      <w:proofErr w:type="gramStart"/>
      <w:r w:rsidRPr="008C06D8">
        <w:rPr>
          <w:rFonts w:cstheme="minorHAnsi"/>
        </w:rPr>
        <w:t>f. If</w:t>
      </w:r>
      <w:proofErr w:type="gramEnd"/>
      <w:r w:rsidRPr="008C06D8">
        <w:rPr>
          <w:rFonts w:cstheme="minorHAnsi"/>
        </w:rPr>
        <w:t xml:space="preserve"> the Chair </w:t>
      </w:r>
      <w:proofErr w:type="gramStart"/>
      <w:r w:rsidRPr="008C06D8">
        <w:rPr>
          <w:rFonts w:cstheme="minorHAnsi"/>
        </w:rPr>
        <w:t>is not able to</w:t>
      </w:r>
      <w:proofErr w:type="gramEnd"/>
      <w:r w:rsidRPr="008C06D8">
        <w:rPr>
          <w:rFonts w:cstheme="minorHAnsi"/>
        </w:rPr>
        <w:t xml:space="preserve"> attend the meeting, the Committee shall </w:t>
      </w:r>
      <w:proofErr w:type="gramStart"/>
      <w:r w:rsidRPr="008C06D8">
        <w:rPr>
          <w:rFonts w:cstheme="minorHAnsi"/>
        </w:rPr>
        <w:t>appointment</w:t>
      </w:r>
      <w:proofErr w:type="gramEnd"/>
      <w:r w:rsidRPr="008C06D8">
        <w:rPr>
          <w:rFonts w:cstheme="minorHAnsi"/>
        </w:rPr>
        <w:t xml:space="preserve"> a Chair for the meeting from amongst the committee members present. </w:t>
      </w:r>
    </w:p>
    <w:p w14:paraId="6E62E27E" w14:textId="77777777" w:rsidR="008520A3" w:rsidRPr="008C06D8" w:rsidRDefault="004B3666" w:rsidP="0021559A">
      <w:pPr>
        <w:rPr>
          <w:rFonts w:cstheme="minorHAnsi"/>
        </w:rPr>
      </w:pPr>
      <w:r w:rsidRPr="008C06D8">
        <w:rPr>
          <w:rFonts w:cstheme="minorHAnsi"/>
        </w:rPr>
        <w:lastRenderedPageBreak/>
        <w:t>g. A committee member shall be appointed as recording secretary for each meeting, with draft</w:t>
      </w:r>
      <w:r w:rsidR="008520A3" w:rsidRPr="008C06D8">
        <w:rPr>
          <w:rFonts w:cstheme="minorHAnsi"/>
        </w:rPr>
        <w:t xml:space="preserve"> Minutes being circulated within 10 days of the meeting. </w:t>
      </w:r>
    </w:p>
    <w:p w14:paraId="56AD8298" w14:textId="4A657160" w:rsidR="0021559A" w:rsidRDefault="008520A3" w:rsidP="0021559A">
      <w:pPr>
        <w:rPr>
          <w:rFonts w:cstheme="minorHAnsi"/>
        </w:rPr>
      </w:pPr>
      <w:r w:rsidRPr="008C06D8">
        <w:rPr>
          <w:rFonts w:cstheme="minorHAnsi"/>
        </w:rPr>
        <w:t xml:space="preserve">h. Standing and Ad Hoc Committee Meeting Minutes will be distributed to all Committee Members, the </w:t>
      </w:r>
      <w:r w:rsidR="00113361">
        <w:rPr>
          <w:rFonts w:cstheme="minorHAnsi"/>
        </w:rPr>
        <w:t>Executive Director and Board</w:t>
      </w:r>
      <w:r w:rsidRPr="008C06D8">
        <w:rPr>
          <w:rFonts w:cstheme="minorHAnsi"/>
        </w:rPr>
        <w:t>.</w:t>
      </w:r>
    </w:p>
    <w:p w14:paraId="1D15F700" w14:textId="77777777" w:rsidR="00113361" w:rsidRPr="008C06D8" w:rsidRDefault="00113361" w:rsidP="0021559A">
      <w:pPr>
        <w:rPr>
          <w:rFonts w:cstheme="minorHAnsi"/>
        </w:rPr>
      </w:pPr>
    </w:p>
    <w:p w14:paraId="4AAB1920" w14:textId="77777777" w:rsidR="00AF521F" w:rsidRPr="008C06D8" w:rsidRDefault="00AF521F" w:rsidP="0021559A">
      <w:pPr>
        <w:rPr>
          <w:rFonts w:cstheme="minorHAnsi"/>
          <w:b/>
          <w:bCs/>
          <w:u w:val="single"/>
        </w:rPr>
      </w:pPr>
      <w:r w:rsidRPr="008C06D8">
        <w:rPr>
          <w:rFonts w:cstheme="minorHAnsi"/>
          <w:b/>
          <w:bCs/>
          <w:u w:val="single"/>
        </w:rPr>
        <w:t xml:space="preserve">4.0 Appointments to Committees </w:t>
      </w:r>
    </w:p>
    <w:p w14:paraId="2080CF4F" w14:textId="77777777" w:rsidR="00AF521F" w:rsidRPr="008C06D8" w:rsidRDefault="00AF521F" w:rsidP="0021559A">
      <w:pPr>
        <w:rPr>
          <w:rFonts w:cstheme="minorHAnsi"/>
          <w:b/>
          <w:bCs/>
        </w:rPr>
      </w:pPr>
      <w:r w:rsidRPr="008C06D8">
        <w:rPr>
          <w:rFonts w:cstheme="minorHAnsi"/>
          <w:b/>
          <w:bCs/>
        </w:rPr>
        <w:t xml:space="preserve">4.1 Committees of the Board </w:t>
      </w:r>
    </w:p>
    <w:p w14:paraId="2A716ADA" w14:textId="52F15427" w:rsidR="00AF521F" w:rsidRPr="008C06D8" w:rsidRDefault="00AF521F" w:rsidP="0021559A">
      <w:pPr>
        <w:rPr>
          <w:rFonts w:cstheme="minorHAnsi"/>
        </w:rPr>
      </w:pPr>
      <w:r w:rsidRPr="008C06D8">
        <w:rPr>
          <w:rFonts w:cstheme="minorHAnsi"/>
        </w:rPr>
        <w:t xml:space="preserve">a. Directors may be designated by their position to sit on a specific committee or </w:t>
      </w:r>
      <w:r w:rsidR="00E97AE9" w:rsidRPr="008C06D8">
        <w:rPr>
          <w:rFonts w:cstheme="minorHAnsi"/>
        </w:rPr>
        <w:t>committees or</w:t>
      </w:r>
      <w:r w:rsidRPr="008C06D8">
        <w:rPr>
          <w:rFonts w:cstheme="minorHAnsi"/>
        </w:rPr>
        <w:t xml:space="preserve"> may be appointed by the </w:t>
      </w:r>
      <w:r w:rsidR="00EF3276">
        <w:rPr>
          <w:rFonts w:cstheme="minorHAnsi"/>
        </w:rPr>
        <w:t>Board</w:t>
      </w:r>
      <w:r w:rsidR="004D035F">
        <w:rPr>
          <w:rFonts w:cstheme="minorHAnsi"/>
        </w:rPr>
        <w:t xml:space="preserve"> </w:t>
      </w:r>
      <w:r w:rsidRPr="008C06D8">
        <w:rPr>
          <w:rFonts w:cstheme="minorHAnsi"/>
        </w:rPr>
        <w:t xml:space="preserve">for one year. </w:t>
      </w:r>
    </w:p>
    <w:p w14:paraId="1310A853" w14:textId="77777777" w:rsidR="000D14AC" w:rsidRPr="008C06D8" w:rsidRDefault="00AF521F" w:rsidP="0021559A">
      <w:pPr>
        <w:rPr>
          <w:rFonts w:cstheme="minorHAnsi"/>
        </w:rPr>
      </w:pPr>
      <w:r w:rsidRPr="008C06D8">
        <w:rPr>
          <w:rFonts w:cstheme="minorHAnsi"/>
        </w:rPr>
        <w:t xml:space="preserve">b. Directors can be re-appointed to committees. </w:t>
      </w:r>
    </w:p>
    <w:p w14:paraId="40720BF6" w14:textId="5488792F" w:rsidR="000D14AC" w:rsidRPr="008C06D8" w:rsidRDefault="000D14AC" w:rsidP="0021559A">
      <w:pPr>
        <w:rPr>
          <w:rFonts w:cstheme="minorHAnsi"/>
          <w:b/>
          <w:bCs/>
        </w:rPr>
      </w:pPr>
      <w:r w:rsidRPr="008C06D8">
        <w:rPr>
          <w:rFonts w:cstheme="minorHAnsi"/>
          <w:b/>
          <w:bCs/>
        </w:rPr>
        <w:t xml:space="preserve">4.2 </w:t>
      </w:r>
      <w:r w:rsidR="00AF521F" w:rsidRPr="008C06D8">
        <w:rPr>
          <w:rFonts w:cstheme="minorHAnsi"/>
          <w:b/>
          <w:bCs/>
        </w:rPr>
        <w:t xml:space="preserve">Sub-Committees </w:t>
      </w:r>
    </w:p>
    <w:p w14:paraId="4DFFA932" w14:textId="2F694964" w:rsidR="00D26585" w:rsidRPr="008C06D8" w:rsidRDefault="00AF521F" w:rsidP="0021559A">
      <w:pPr>
        <w:rPr>
          <w:rFonts w:cstheme="minorHAnsi"/>
        </w:rPr>
      </w:pPr>
      <w:r w:rsidRPr="008C06D8">
        <w:rPr>
          <w:rFonts w:cstheme="minorHAnsi"/>
        </w:rPr>
        <w:t xml:space="preserve">a. Potential sub-committee members can be identified through a call for applications from </w:t>
      </w:r>
      <w:proofErr w:type="gramStart"/>
      <w:r w:rsidRPr="008C06D8">
        <w:rPr>
          <w:rFonts w:cstheme="minorHAnsi"/>
        </w:rPr>
        <w:t xml:space="preserve">the </w:t>
      </w:r>
      <w:r w:rsidR="00E97AE9" w:rsidRPr="008C06D8">
        <w:rPr>
          <w:rFonts w:cstheme="minorHAnsi"/>
        </w:rPr>
        <w:t>membership</w:t>
      </w:r>
      <w:proofErr w:type="gramEnd"/>
      <w:r w:rsidR="00E97AE9" w:rsidRPr="008C06D8">
        <w:rPr>
          <w:rFonts w:cstheme="minorHAnsi"/>
        </w:rPr>
        <w:t xml:space="preserve"> or</w:t>
      </w:r>
      <w:r w:rsidRPr="008C06D8">
        <w:rPr>
          <w:rFonts w:cstheme="minorHAnsi"/>
        </w:rPr>
        <w:t xml:space="preserve"> specifically recruited. Members are appointed by </w:t>
      </w:r>
      <w:r w:rsidR="00883462">
        <w:rPr>
          <w:rFonts w:cstheme="minorHAnsi"/>
        </w:rPr>
        <w:t>the committee</w:t>
      </w:r>
      <w:r w:rsidRPr="008C06D8">
        <w:rPr>
          <w:rFonts w:cstheme="minorHAnsi"/>
        </w:rPr>
        <w:t xml:space="preserve">. </w:t>
      </w:r>
    </w:p>
    <w:p w14:paraId="0AC263E2" w14:textId="77777777" w:rsidR="00D26585" w:rsidRPr="008C06D8" w:rsidRDefault="00AF521F" w:rsidP="0021559A">
      <w:pPr>
        <w:rPr>
          <w:rFonts w:cstheme="minorHAnsi"/>
        </w:rPr>
      </w:pPr>
      <w:r w:rsidRPr="008C06D8">
        <w:rPr>
          <w:rFonts w:cstheme="minorHAnsi"/>
        </w:rPr>
        <w:t xml:space="preserve">b. The Standing Committee Chair will name the sub-committee chair from amongst sub-committee members. </w:t>
      </w:r>
    </w:p>
    <w:p w14:paraId="154C212F" w14:textId="2D060EFF" w:rsidR="00D26585" w:rsidRPr="00AF7864" w:rsidRDefault="00D26585" w:rsidP="0021559A">
      <w:pPr>
        <w:rPr>
          <w:rFonts w:cstheme="minorHAnsi"/>
          <w:b/>
          <w:bCs/>
        </w:rPr>
      </w:pPr>
      <w:r w:rsidRPr="00AF7864">
        <w:rPr>
          <w:rFonts w:cstheme="minorHAnsi"/>
          <w:b/>
          <w:bCs/>
        </w:rPr>
        <w:t>4.</w:t>
      </w:r>
      <w:r w:rsidR="00AF7864" w:rsidRPr="00AF7864">
        <w:rPr>
          <w:rFonts w:cstheme="minorHAnsi"/>
          <w:b/>
          <w:bCs/>
        </w:rPr>
        <w:t>3</w:t>
      </w:r>
      <w:r w:rsidRPr="00AF7864">
        <w:rPr>
          <w:rFonts w:cstheme="minorHAnsi"/>
          <w:b/>
          <w:bCs/>
        </w:rPr>
        <w:t xml:space="preserve"> </w:t>
      </w:r>
      <w:r w:rsidR="00AF521F" w:rsidRPr="00AF7864">
        <w:rPr>
          <w:rFonts w:cstheme="minorHAnsi"/>
          <w:b/>
          <w:bCs/>
        </w:rPr>
        <w:t xml:space="preserve">Ad Hoc Committees </w:t>
      </w:r>
    </w:p>
    <w:p w14:paraId="6B7CA3B4" w14:textId="04CE10E7" w:rsidR="00D26585" w:rsidRPr="008C06D8" w:rsidRDefault="00AF521F" w:rsidP="0021559A">
      <w:pPr>
        <w:rPr>
          <w:rFonts w:cstheme="minorHAnsi"/>
        </w:rPr>
      </w:pPr>
      <w:r w:rsidRPr="008C06D8">
        <w:rPr>
          <w:rFonts w:cstheme="minorHAnsi"/>
        </w:rPr>
        <w:t xml:space="preserve">a. The Board may conduct a call for interested candidates from </w:t>
      </w:r>
      <w:proofErr w:type="gramStart"/>
      <w:r w:rsidRPr="008C06D8">
        <w:rPr>
          <w:rFonts w:cstheme="minorHAnsi"/>
        </w:rPr>
        <w:t>the membership</w:t>
      </w:r>
      <w:proofErr w:type="gramEnd"/>
      <w:r w:rsidRPr="008C06D8">
        <w:rPr>
          <w:rFonts w:cstheme="minorHAnsi"/>
        </w:rPr>
        <w:t xml:space="preserve"> and / or recruit specific members.</w:t>
      </w:r>
    </w:p>
    <w:p w14:paraId="63A6EECA" w14:textId="77777777" w:rsidR="00D26585" w:rsidRPr="008C06D8" w:rsidRDefault="00AF521F" w:rsidP="0021559A">
      <w:pPr>
        <w:rPr>
          <w:rFonts w:cstheme="minorHAnsi"/>
        </w:rPr>
      </w:pPr>
      <w:r w:rsidRPr="008C06D8">
        <w:rPr>
          <w:rFonts w:cstheme="minorHAnsi"/>
        </w:rPr>
        <w:t xml:space="preserve">b. To meet the need for any specific expertise, candidates may be recruited from outside the </w:t>
      </w:r>
      <w:r w:rsidR="00D26585" w:rsidRPr="008C06D8">
        <w:rPr>
          <w:rFonts w:cstheme="minorHAnsi"/>
        </w:rPr>
        <w:t xml:space="preserve">North Peace Gymnastics </w:t>
      </w:r>
      <w:r w:rsidRPr="008C06D8">
        <w:rPr>
          <w:rFonts w:cstheme="minorHAnsi"/>
        </w:rPr>
        <w:t xml:space="preserve">membership. </w:t>
      </w:r>
    </w:p>
    <w:p w14:paraId="711FFAD9" w14:textId="611969B8" w:rsidR="00D26585" w:rsidRPr="008C06D8" w:rsidRDefault="00AF521F" w:rsidP="0021559A">
      <w:pPr>
        <w:rPr>
          <w:rFonts w:cstheme="minorHAnsi"/>
        </w:rPr>
      </w:pPr>
      <w:r w:rsidRPr="008C06D8">
        <w:rPr>
          <w:rFonts w:cstheme="minorHAnsi"/>
        </w:rPr>
        <w:t xml:space="preserve">c. The Board shall appoint all members within 30 days of the formation of the committee and shall name the Chair of the Committee. </w:t>
      </w:r>
    </w:p>
    <w:p w14:paraId="04FD7B9D" w14:textId="77777777" w:rsidR="0010728D" w:rsidRDefault="00AF521F" w:rsidP="0021559A">
      <w:pPr>
        <w:rPr>
          <w:rFonts w:cstheme="minorHAnsi"/>
        </w:rPr>
      </w:pPr>
      <w:r w:rsidRPr="008C06D8">
        <w:rPr>
          <w:rFonts w:cstheme="minorHAnsi"/>
        </w:rPr>
        <w:t xml:space="preserve">d. The Board shall fill vacancies by appointment as necessary during the lifespan of the committee. </w:t>
      </w:r>
    </w:p>
    <w:p w14:paraId="03A8D1D6" w14:textId="5AA4F2A5" w:rsidR="0021559A" w:rsidRPr="008C06D8" w:rsidRDefault="00AF521F" w:rsidP="0021559A">
      <w:pPr>
        <w:rPr>
          <w:rFonts w:cstheme="minorHAnsi"/>
        </w:rPr>
      </w:pPr>
      <w:r w:rsidRPr="008C06D8">
        <w:rPr>
          <w:rFonts w:cstheme="minorHAnsi"/>
        </w:rPr>
        <w:t>e. All appointments shall be for the duration of the tasks assigned to the committee.</w:t>
      </w:r>
    </w:p>
    <w:p w14:paraId="28F6F814" w14:textId="77777777" w:rsidR="0010728D" w:rsidRDefault="0010728D" w:rsidP="0021559A">
      <w:pPr>
        <w:rPr>
          <w:rFonts w:cstheme="minorHAnsi"/>
          <w:b/>
          <w:bCs/>
          <w:u w:val="single"/>
        </w:rPr>
      </w:pPr>
    </w:p>
    <w:p w14:paraId="56C481F3" w14:textId="0B7BD715" w:rsidR="00895FEB" w:rsidRPr="00AF7864" w:rsidRDefault="00895FEB" w:rsidP="0021559A">
      <w:pPr>
        <w:rPr>
          <w:rFonts w:cstheme="minorHAnsi"/>
          <w:b/>
          <w:bCs/>
          <w:u w:val="single"/>
        </w:rPr>
      </w:pPr>
      <w:r w:rsidRPr="00AF7864">
        <w:rPr>
          <w:rFonts w:cstheme="minorHAnsi"/>
          <w:b/>
          <w:bCs/>
          <w:u w:val="single"/>
        </w:rPr>
        <w:t xml:space="preserve">5.0 Committee Authority </w:t>
      </w:r>
    </w:p>
    <w:p w14:paraId="7AEF1A9E" w14:textId="77777777" w:rsidR="002568AC" w:rsidRPr="00AF7864" w:rsidRDefault="00895FEB" w:rsidP="0021559A">
      <w:pPr>
        <w:rPr>
          <w:rFonts w:cstheme="minorHAnsi"/>
          <w:b/>
          <w:bCs/>
        </w:rPr>
      </w:pPr>
      <w:r w:rsidRPr="00AF7864">
        <w:rPr>
          <w:rFonts w:cstheme="minorHAnsi"/>
          <w:b/>
          <w:bCs/>
        </w:rPr>
        <w:t xml:space="preserve">5.1 Committees of the Board and Their Sub-committees </w:t>
      </w:r>
    </w:p>
    <w:p w14:paraId="59463D62" w14:textId="77777777" w:rsidR="002568AC" w:rsidRPr="008C06D8" w:rsidRDefault="00895FEB" w:rsidP="0021559A">
      <w:pPr>
        <w:rPr>
          <w:rFonts w:cstheme="minorHAnsi"/>
        </w:rPr>
      </w:pPr>
      <w:r w:rsidRPr="008C06D8">
        <w:rPr>
          <w:rFonts w:cstheme="minorHAnsi"/>
        </w:rPr>
        <w:t xml:space="preserve">These committees have no authority </w:t>
      </w:r>
      <w:proofErr w:type="gramStart"/>
      <w:r w:rsidRPr="008C06D8">
        <w:rPr>
          <w:rFonts w:cstheme="minorHAnsi"/>
        </w:rPr>
        <w:t>in excess of</w:t>
      </w:r>
      <w:proofErr w:type="gramEnd"/>
      <w:r w:rsidRPr="008C06D8">
        <w:rPr>
          <w:rFonts w:cstheme="minorHAnsi"/>
        </w:rPr>
        <w:t xml:space="preserve"> that assigned by the Board. The Committees will make recommendations to the Board of Directors. </w:t>
      </w:r>
    </w:p>
    <w:p w14:paraId="517CB206" w14:textId="77777777" w:rsidR="00AF7864" w:rsidRPr="00AF7864" w:rsidRDefault="00895FEB" w:rsidP="0021559A">
      <w:pPr>
        <w:rPr>
          <w:rFonts w:cstheme="minorHAnsi"/>
          <w:b/>
          <w:bCs/>
        </w:rPr>
      </w:pPr>
      <w:r w:rsidRPr="00AF7864">
        <w:rPr>
          <w:rFonts w:cstheme="minorHAnsi"/>
          <w:b/>
          <w:bCs/>
        </w:rPr>
        <w:t>5.2</w:t>
      </w:r>
      <w:r w:rsidR="002568AC" w:rsidRPr="00AF7864">
        <w:rPr>
          <w:rFonts w:cstheme="minorHAnsi"/>
          <w:b/>
          <w:bCs/>
        </w:rPr>
        <w:t xml:space="preserve"> </w:t>
      </w:r>
      <w:r w:rsidRPr="00AF7864">
        <w:rPr>
          <w:rFonts w:cstheme="minorHAnsi"/>
          <w:b/>
          <w:bCs/>
        </w:rPr>
        <w:t xml:space="preserve">Ad Hoc Committees </w:t>
      </w:r>
    </w:p>
    <w:p w14:paraId="49E193D0" w14:textId="4963B226" w:rsidR="00155FB0" w:rsidRPr="008C06D8" w:rsidRDefault="00895FEB" w:rsidP="0021559A">
      <w:pPr>
        <w:rPr>
          <w:rFonts w:cstheme="minorHAnsi"/>
        </w:rPr>
      </w:pPr>
      <w:r w:rsidRPr="008C06D8">
        <w:rPr>
          <w:rFonts w:cstheme="minorHAnsi"/>
        </w:rPr>
        <w:t xml:space="preserve">Ad Hoc Committees have no authority independent of that specified in the Terms of Reference for the Committee. </w:t>
      </w:r>
    </w:p>
    <w:sectPr w:rsidR="00155FB0" w:rsidRPr="008C0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181"/>
    <w:multiLevelType w:val="hybridMultilevel"/>
    <w:tmpl w:val="55422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81AF0"/>
    <w:multiLevelType w:val="hybridMultilevel"/>
    <w:tmpl w:val="F374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D35DD"/>
    <w:multiLevelType w:val="multilevel"/>
    <w:tmpl w:val="5AA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71F51"/>
    <w:multiLevelType w:val="multilevel"/>
    <w:tmpl w:val="589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80B14"/>
    <w:multiLevelType w:val="hybridMultilevel"/>
    <w:tmpl w:val="6E14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5566F"/>
    <w:multiLevelType w:val="multilevel"/>
    <w:tmpl w:val="2F6E03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01614373">
    <w:abstractNumId w:val="5"/>
  </w:num>
  <w:num w:numId="2" w16cid:durableId="321352988">
    <w:abstractNumId w:val="3"/>
  </w:num>
  <w:num w:numId="3" w16cid:durableId="390925437">
    <w:abstractNumId w:val="2"/>
  </w:num>
  <w:num w:numId="4" w16cid:durableId="456023263">
    <w:abstractNumId w:val="1"/>
  </w:num>
  <w:num w:numId="5" w16cid:durableId="1919751821">
    <w:abstractNumId w:val="4"/>
  </w:num>
  <w:num w:numId="6" w16cid:durableId="144252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9A"/>
    <w:rsid w:val="000072A2"/>
    <w:rsid w:val="0003310D"/>
    <w:rsid w:val="00052705"/>
    <w:rsid w:val="00054770"/>
    <w:rsid w:val="00083A26"/>
    <w:rsid w:val="000B408F"/>
    <w:rsid w:val="000C129F"/>
    <w:rsid w:val="000C2A0E"/>
    <w:rsid w:val="000D1209"/>
    <w:rsid w:val="000D14AC"/>
    <w:rsid w:val="000E1E37"/>
    <w:rsid w:val="0010728D"/>
    <w:rsid w:val="00113361"/>
    <w:rsid w:val="00155FB0"/>
    <w:rsid w:val="001619B5"/>
    <w:rsid w:val="0017715A"/>
    <w:rsid w:val="00182578"/>
    <w:rsid w:val="00182B95"/>
    <w:rsid w:val="001B78C3"/>
    <w:rsid w:val="001E1084"/>
    <w:rsid w:val="001F798F"/>
    <w:rsid w:val="00205267"/>
    <w:rsid w:val="0021559A"/>
    <w:rsid w:val="002263E7"/>
    <w:rsid w:val="00233859"/>
    <w:rsid w:val="002515EE"/>
    <w:rsid w:val="002568AC"/>
    <w:rsid w:val="00263CF4"/>
    <w:rsid w:val="002D4ED0"/>
    <w:rsid w:val="002D5C2D"/>
    <w:rsid w:val="00332C9E"/>
    <w:rsid w:val="003B4BB9"/>
    <w:rsid w:val="003E0155"/>
    <w:rsid w:val="003E1585"/>
    <w:rsid w:val="00402B56"/>
    <w:rsid w:val="0040597B"/>
    <w:rsid w:val="004201DF"/>
    <w:rsid w:val="004274BB"/>
    <w:rsid w:val="00476B3E"/>
    <w:rsid w:val="004834E6"/>
    <w:rsid w:val="004B3666"/>
    <w:rsid w:val="004C1862"/>
    <w:rsid w:val="004D035F"/>
    <w:rsid w:val="00533FFA"/>
    <w:rsid w:val="005501FD"/>
    <w:rsid w:val="0055258C"/>
    <w:rsid w:val="00587761"/>
    <w:rsid w:val="00617878"/>
    <w:rsid w:val="00653518"/>
    <w:rsid w:val="00681903"/>
    <w:rsid w:val="006828EE"/>
    <w:rsid w:val="00707DF0"/>
    <w:rsid w:val="00725C93"/>
    <w:rsid w:val="007659B0"/>
    <w:rsid w:val="00791013"/>
    <w:rsid w:val="007926E7"/>
    <w:rsid w:val="007A6786"/>
    <w:rsid w:val="007B71F3"/>
    <w:rsid w:val="007F237D"/>
    <w:rsid w:val="0080225F"/>
    <w:rsid w:val="0081160A"/>
    <w:rsid w:val="0081214A"/>
    <w:rsid w:val="008520A3"/>
    <w:rsid w:val="0087720F"/>
    <w:rsid w:val="00883462"/>
    <w:rsid w:val="0088413C"/>
    <w:rsid w:val="0088710E"/>
    <w:rsid w:val="00895FEB"/>
    <w:rsid w:val="008B1E28"/>
    <w:rsid w:val="008C06D8"/>
    <w:rsid w:val="008C68C2"/>
    <w:rsid w:val="008F1494"/>
    <w:rsid w:val="009459E7"/>
    <w:rsid w:val="00951513"/>
    <w:rsid w:val="00984D39"/>
    <w:rsid w:val="00996CF0"/>
    <w:rsid w:val="009A0827"/>
    <w:rsid w:val="009A3C2F"/>
    <w:rsid w:val="009D48CD"/>
    <w:rsid w:val="009E2DAB"/>
    <w:rsid w:val="009F0B47"/>
    <w:rsid w:val="00A358FC"/>
    <w:rsid w:val="00A951EE"/>
    <w:rsid w:val="00AA75CA"/>
    <w:rsid w:val="00AB4489"/>
    <w:rsid w:val="00AC6415"/>
    <w:rsid w:val="00AF521F"/>
    <w:rsid w:val="00AF7864"/>
    <w:rsid w:val="00B12C05"/>
    <w:rsid w:val="00B13C7E"/>
    <w:rsid w:val="00B23775"/>
    <w:rsid w:val="00B3005A"/>
    <w:rsid w:val="00B61F16"/>
    <w:rsid w:val="00C11D23"/>
    <w:rsid w:val="00C446E7"/>
    <w:rsid w:val="00C47DB3"/>
    <w:rsid w:val="00C52BD4"/>
    <w:rsid w:val="00CA10C7"/>
    <w:rsid w:val="00CD5132"/>
    <w:rsid w:val="00D1085D"/>
    <w:rsid w:val="00D26585"/>
    <w:rsid w:val="00D43DE9"/>
    <w:rsid w:val="00D66537"/>
    <w:rsid w:val="00DA4C07"/>
    <w:rsid w:val="00DB0ACC"/>
    <w:rsid w:val="00DC1E58"/>
    <w:rsid w:val="00DE5DC3"/>
    <w:rsid w:val="00E46E93"/>
    <w:rsid w:val="00E619CF"/>
    <w:rsid w:val="00E76780"/>
    <w:rsid w:val="00E97AE9"/>
    <w:rsid w:val="00EA2D36"/>
    <w:rsid w:val="00EA310E"/>
    <w:rsid w:val="00EB6349"/>
    <w:rsid w:val="00EF3276"/>
    <w:rsid w:val="00F43B4C"/>
    <w:rsid w:val="00F5036D"/>
    <w:rsid w:val="00F92468"/>
    <w:rsid w:val="00F952C8"/>
    <w:rsid w:val="00F97525"/>
    <w:rsid w:val="00FA1569"/>
    <w:rsid w:val="00FD0E77"/>
    <w:rsid w:val="00FF1F2C"/>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FCDA"/>
  <w15:chartTrackingRefBased/>
  <w15:docId w15:val="{98C7C5C4-863F-4F2F-ADFD-1A2092D3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59A"/>
    <w:pPr>
      <w:ind w:left="720"/>
      <w:contextualSpacing/>
    </w:pPr>
  </w:style>
  <w:style w:type="table" w:styleId="TableGrid">
    <w:name w:val="Table Grid"/>
    <w:basedOn w:val="TableNormal"/>
    <w:uiPriority w:val="39"/>
    <w:rsid w:val="00182B95"/>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1569"/>
    <w:rPr>
      <w:color w:val="0000FF"/>
      <w:u w:val="single"/>
    </w:rPr>
  </w:style>
  <w:style w:type="paragraph" w:styleId="NormalWeb">
    <w:name w:val="Normal (Web)"/>
    <w:basedOn w:val="Normal"/>
    <w:uiPriority w:val="99"/>
    <w:semiHidden/>
    <w:unhideWhenUsed/>
    <w:rsid w:val="0018257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82578"/>
    <w:rPr>
      <w:b/>
      <w:bCs/>
    </w:rPr>
  </w:style>
  <w:style w:type="paragraph" w:styleId="Revision">
    <w:name w:val="Revision"/>
    <w:hidden/>
    <w:uiPriority w:val="99"/>
    <w:semiHidden/>
    <w:rsid w:val="00205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635180">
      <w:bodyDiv w:val="1"/>
      <w:marLeft w:val="0"/>
      <w:marRight w:val="0"/>
      <w:marTop w:val="0"/>
      <w:marBottom w:val="0"/>
      <w:divBdr>
        <w:top w:val="none" w:sz="0" w:space="0" w:color="auto"/>
        <w:left w:val="none" w:sz="0" w:space="0" w:color="auto"/>
        <w:bottom w:val="none" w:sz="0" w:space="0" w:color="auto"/>
        <w:right w:val="none" w:sz="0" w:space="0" w:color="auto"/>
      </w:divBdr>
    </w:div>
    <w:div w:id="1541287243">
      <w:bodyDiv w:val="1"/>
      <w:marLeft w:val="0"/>
      <w:marRight w:val="0"/>
      <w:marTop w:val="0"/>
      <w:marBottom w:val="0"/>
      <w:divBdr>
        <w:top w:val="none" w:sz="0" w:space="0" w:color="auto"/>
        <w:left w:val="none" w:sz="0" w:space="0" w:color="auto"/>
        <w:bottom w:val="none" w:sz="0" w:space="0" w:color="auto"/>
        <w:right w:val="none" w:sz="0" w:space="0" w:color="auto"/>
      </w:divBdr>
    </w:div>
    <w:div w:id="201021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6B1C995AA2874180C7F3F9DFDA8629" ma:contentTypeVersion="10" ma:contentTypeDescription="Create a new document." ma:contentTypeScope="" ma:versionID="75b5094b5786e5e1a3a62de5bfaa65b4">
  <xsd:schema xmlns:xsd="http://www.w3.org/2001/XMLSchema" xmlns:xs="http://www.w3.org/2001/XMLSchema" xmlns:p="http://schemas.microsoft.com/office/2006/metadata/properties" xmlns:ns2="00996939-f38d-4742-a40d-c34dc5468b0d" xmlns:ns3="43b9ad70-fc9a-4b2d-a3de-b842f8080cae" targetNamespace="http://schemas.microsoft.com/office/2006/metadata/properties" ma:root="true" ma:fieldsID="7fc96225ecad6a360033e17d4d57db58" ns2:_="" ns3:_="">
    <xsd:import namespace="00996939-f38d-4742-a40d-c34dc5468b0d"/>
    <xsd:import namespace="43b9ad70-fc9a-4b2d-a3de-b842f8080c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6939-f38d-4742-a40d-c34dc5468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bb5cfd-f38e-422a-9b2c-61dfeedf30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9ad70-fc9a-4b2d-a3de-b842f8080c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78e58c-c1d2-4757-bbf2-c59fffc9393c}" ma:internalName="TaxCatchAll" ma:showField="CatchAllData" ma:web="43b9ad70-fc9a-4b2d-a3de-b842f8080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b9ad70-fc9a-4b2d-a3de-b842f8080cae" xsi:nil="true"/>
    <lcf76f155ced4ddcb4097134ff3c332f xmlns="00996939-f38d-4742-a40d-c34dc5468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1BA3C7-860C-4EC6-AAF7-B460E2AC279E}">
  <ds:schemaRefs>
    <ds:schemaRef ds:uri="http://schemas.microsoft.com/sharepoint/v3/contenttype/forms"/>
  </ds:schemaRefs>
</ds:datastoreItem>
</file>

<file path=customXml/itemProps2.xml><?xml version="1.0" encoding="utf-8"?>
<ds:datastoreItem xmlns:ds="http://schemas.openxmlformats.org/officeDocument/2006/customXml" ds:itemID="{702BC770-9E38-460E-BD00-25423DA5C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96939-f38d-4742-a40d-c34dc5468b0d"/>
    <ds:schemaRef ds:uri="43b9ad70-fc9a-4b2d-a3de-b842f808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B18FC-365F-4A73-BA89-DA4A245CDC8C}">
  <ds:schemaRefs>
    <ds:schemaRef ds:uri="http://schemas.microsoft.com/office/2006/metadata/properties"/>
    <ds:schemaRef ds:uri="http://schemas.microsoft.com/office/infopath/2007/PartnerControls"/>
    <ds:schemaRef ds:uri="43b9ad70-fc9a-4b2d-a3de-b842f8080cae"/>
    <ds:schemaRef ds:uri="00996939-f38d-4742-a40d-c34dc5468b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5346</Characters>
  <Application>Microsoft Office Word</Application>
  <DocSecurity>0</DocSecurity>
  <Lines>127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Yates</dc:creator>
  <cp:keywords/>
  <dc:description/>
  <cp:lastModifiedBy>Chantelle Yates</cp:lastModifiedBy>
  <cp:revision>4</cp:revision>
  <dcterms:created xsi:type="dcterms:W3CDTF">2025-10-18T20:08:00Z</dcterms:created>
  <dcterms:modified xsi:type="dcterms:W3CDTF">2025-11-25T17:38:00Z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0x010100226B1C995AA2874180C7F3F9DFDA8629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